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Activity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CORONEL,Tyrone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Muscle-Platysma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Origin-Infraclavicular and supraclavicular regions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Insertion- Base of mandible, skin of cheek and lower lip, orbicularis oris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Action- depresses mandible and tenses the interior face and neck’s skin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Muscle - Mentalis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Origin - Body of mandible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Insertion - skin of chin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Action - Elevates skin of chin, protrudes lower lip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Muscle - Orbicularis oris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Origin - Medial maxilla, mandible, perioral skin and muscle, modiolus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Insertion - Mucous membrane of lips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Action -  compresses and protrudes lips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Muscle - Corrugator supercilii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Origin -  medial end of superciliary arch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Insertion - Skin above the middle of supraorbital margin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Action - Draws eyebrows medially and inferiorly, creates vertical wrinkles above nose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Muscle -  Orbicularis oculi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Origin -  nasal part of frontal bone, medial palpebral ligament, lacrimal bone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Insertion - Skin of orbital region, superior and inferior tarsal plates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Action - closes eyelids, making a winking expression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Muscle - Occipitofrontalis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Origin - Epicranial aponeurosis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Insertion - Skin and tissues of eyebrows and forehead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Action -  Elevates eyebrows and wrinkles forehead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