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374D" w14:textId="77777777" w:rsidR="006D5EDD" w:rsidRPr="00744420" w:rsidRDefault="006D5EDD" w:rsidP="005C064F">
      <w:pPr>
        <w:spacing w:after="0" w:line="240" w:lineRule="auto"/>
        <w:rPr>
          <w:rFonts w:ascii="Arial" w:hAnsi="Arial" w:cs="Arial"/>
          <w:b/>
          <w:sz w:val="20"/>
          <w:szCs w:val="20"/>
        </w:rPr>
      </w:pPr>
      <w:r w:rsidRPr="00744420">
        <w:rPr>
          <w:rFonts w:ascii="Arial" w:hAnsi="Arial" w:cs="Arial"/>
          <w:b/>
          <w:noProof/>
          <w:sz w:val="20"/>
          <w:szCs w:val="20"/>
          <w:lang w:val="en-US"/>
        </w:rPr>
        <w:drawing>
          <wp:anchor distT="0" distB="0" distL="114300" distR="114300" simplePos="0" relativeHeight="251658240" behindDoc="1" locked="0" layoutInCell="1" allowOverlap="1" wp14:anchorId="437312BE" wp14:editId="30A2D9CB">
            <wp:simplePos x="0" y="0"/>
            <wp:positionH relativeFrom="column">
              <wp:posOffset>19050</wp:posOffset>
            </wp:positionH>
            <wp:positionV relativeFrom="paragraph">
              <wp:posOffset>38100</wp:posOffset>
            </wp:positionV>
            <wp:extent cx="1047750" cy="1016635"/>
            <wp:effectExtent l="19050" t="0" r="0" b="0"/>
            <wp:wrapTight wrapText="bothSides">
              <wp:wrapPolygon edited="0">
                <wp:start x="-393" y="0"/>
                <wp:lineTo x="-393" y="21047"/>
                <wp:lineTo x="21600" y="21047"/>
                <wp:lineTo x="21600" y="0"/>
                <wp:lineTo x="-393" y="0"/>
              </wp:wrapPolygon>
            </wp:wrapTight>
            <wp:docPr id="1" name="Picture 1" descr="Med Onco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 Onco letterhead2"/>
                    <pic:cNvPicPr>
                      <a:picLocks noChangeAspect="1" noChangeArrowheads="1"/>
                    </pic:cNvPicPr>
                  </pic:nvPicPr>
                  <pic:blipFill>
                    <a:blip r:embed="rId8"/>
                    <a:srcRect l="1948" t="15278" r="81494" b="12500"/>
                    <a:stretch>
                      <a:fillRect/>
                    </a:stretch>
                  </pic:blipFill>
                  <pic:spPr bwMode="auto">
                    <a:xfrm>
                      <a:off x="0" y="0"/>
                      <a:ext cx="1047750" cy="1016635"/>
                    </a:xfrm>
                    <a:prstGeom prst="rect">
                      <a:avLst/>
                    </a:prstGeom>
                    <a:noFill/>
                    <a:ln w="9525">
                      <a:noFill/>
                      <a:miter lim="800000"/>
                      <a:headEnd/>
                      <a:tailEnd/>
                    </a:ln>
                  </pic:spPr>
                </pic:pic>
              </a:graphicData>
            </a:graphic>
          </wp:anchor>
        </w:drawing>
      </w:r>
      <w:r w:rsidRPr="00744420">
        <w:rPr>
          <w:rFonts w:ascii="Arial" w:hAnsi="Arial" w:cs="Arial"/>
          <w:b/>
          <w:sz w:val="20"/>
          <w:szCs w:val="20"/>
        </w:rPr>
        <w:t>SECTION OF MEDICAL ONCOLOGY</w:t>
      </w:r>
    </w:p>
    <w:p w14:paraId="1D0B5BD1" w14:textId="77777777" w:rsidR="006D5EDD" w:rsidRPr="00744420" w:rsidRDefault="006D5EDD" w:rsidP="005C064F">
      <w:pPr>
        <w:spacing w:after="0" w:line="240" w:lineRule="auto"/>
        <w:rPr>
          <w:rFonts w:ascii="Arial" w:hAnsi="Arial" w:cs="Arial"/>
          <w:sz w:val="20"/>
          <w:szCs w:val="20"/>
        </w:rPr>
      </w:pPr>
      <w:r w:rsidRPr="00744420">
        <w:rPr>
          <w:rFonts w:ascii="Arial" w:hAnsi="Arial" w:cs="Arial"/>
          <w:sz w:val="20"/>
          <w:szCs w:val="20"/>
        </w:rPr>
        <w:t>Department of Internal Medicine</w:t>
      </w:r>
    </w:p>
    <w:p w14:paraId="57CE2868" w14:textId="77777777" w:rsidR="006D5EDD" w:rsidRPr="00744420" w:rsidRDefault="006D5EDD" w:rsidP="005C064F">
      <w:pPr>
        <w:spacing w:after="0" w:line="240" w:lineRule="auto"/>
        <w:rPr>
          <w:rFonts w:ascii="Arial" w:hAnsi="Arial" w:cs="Arial"/>
          <w:sz w:val="20"/>
          <w:szCs w:val="20"/>
        </w:rPr>
      </w:pPr>
      <w:r w:rsidRPr="00744420">
        <w:rPr>
          <w:rFonts w:ascii="Arial" w:hAnsi="Arial" w:cs="Arial"/>
          <w:sz w:val="20"/>
          <w:szCs w:val="20"/>
        </w:rPr>
        <w:t>University of the Philippines College of Medicine</w:t>
      </w:r>
    </w:p>
    <w:p w14:paraId="1AF10290" w14:textId="77777777" w:rsidR="006D5EDD" w:rsidRPr="00744420" w:rsidRDefault="006D5EDD" w:rsidP="005C064F">
      <w:pPr>
        <w:spacing w:after="0" w:line="240" w:lineRule="auto"/>
        <w:rPr>
          <w:rFonts w:ascii="Arial" w:hAnsi="Arial" w:cs="Arial"/>
          <w:sz w:val="20"/>
          <w:szCs w:val="20"/>
        </w:rPr>
      </w:pPr>
      <w:r w:rsidRPr="00744420">
        <w:rPr>
          <w:rFonts w:ascii="Arial" w:hAnsi="Arial" w:cs="Arial"/>
          <w:sz w:val="20"/>
          <w:szCs w:val="20"/>
        </w:rPr>
        <w:t>Philippine General Hospital</w:t>
      </w:r>
    </w:p>
    <w:p w14:paraId="2AFC0D8E" w14:textId="77777777" w:rsidR="006D5EDD" w:rsidRPr="00744420" w:rsidRDefault="006D5EDD" w:rsidP="005C064F">
      <w:pPr>
        <w:spacing w:after="0" w:line="240" w:lineRule="auto"/>
        <w:rPr>
          <w:rFonts w:ascii="Arial" w:hAnsi="Arial" w:cs="Arial"/>
          <w:sz w:val="20"/>
          <w:szCs w:val="20"/>
        </w:rPr>
      </w:pPr>
      <w:r w:rsidRPr="00744420">
        <w:rPr>
          <w:rFonts w:ascii="Arial" w:hAnsi="Arial" w:cs="Arial"/>
          <w:sz w:val="20"/>
          <w:szCs w:val="20"/>
        </w:rPr>
        <w:t>Taft Ave., Manila, Philippines</w:t>
      </w:r>
      <w:r w:rsidRPr="00744420">
        <w:rPr>
          <w:rFonts w:ascii="Arial" w:hAnsi="Arial" w:cs="Arial"/>
          <w:sz w:val="20"/>
          <w:szCs w:val="20"/>
        </w:rPr>
        <w:tab/>
        <w:t>Telefax: (632) 526-3775</w:t>
      </w:r>
    </w:p>
    <w:p w14:paraId="22A0BFC1" w14:textId="77777777" w:rsidR="006D5EDD" w:rsidRPr="00744420" w:rsidRDefault="006D5EDD" w:rsidP="005C064F">
      <w:pPr>
        <w:pBdr>
          <w:bottom w:val="single" w:sz="12" w:space="1" w:color="auto"/>
        </w:pBdr>
        <w:spacing w:after="0" w:line="240" w:lineRule="auto"/>
        <w:rPr>
          <w:rFonts w:ascii="Arial" w:hAnsi="Arial" w:cs="Arial"/>
          <w:sz w:val="20"/>
          <w:szCs w:val="20"/>
        </w:rPr>
      </w:pPr>
    </w:p>
    <w:p w14:paraId="0BE90750" w14:textId="197919B9" w:rsidR="006D5EDD" w:rsidRDefault="006D5EDD" w:rsidP="006D5EDD">
      <w:pPr>
        <w:spacing w:after="0" w:line="240" w:lineRule="auto"/>
        <w:rPr>
          <w:rFonts w:ascii="Arial" w:hAnsi="Arial" w:cs="Arial"/>
          <w:sz w:val="20"/>
          <w:szCs w:val="20"/>
        </w:rPr>
      </w:pPr>
    </w:p>
    <w:p w14:paraId="55DC8A60" w14:textId="77777777" w:rsidR="00EF46F6" w:rsidRPr="00744420" w:rsidRDefault="00EF46F6" w:rsidP="006D5EDD">
      <w:pPr>
        <w:spacing w:after="0" w:line="240" w:lineRule="auto"/>
        <w:rPr>
          <w:rFonts w:ascii="Arial" w:hAnsi="Arial" w:cs="Arial"/>
          <w:sz w:val="20"/>
          <w:szCs w:val="20"/>
        </w:rPr>
      </w:pPr>
    </w:p>
    <w:p w14:paraId="390826B7" w14:textId="77777777" w:rsidR="00EF46F6" w:rsidRPr="00EF46F6" w:rsidRDefault="00EF46F6" w:rsidP="00EF46F6">
      <w:pPr>
        <w:autoSpaceDE w:val="0"/>
        <w:autoSpaceDN w:val="0"/>
        <w:adjustRightInd w:val="0"/>
        <w:spacing w:after="0" w:line="240" w:lineRule="auto"/>
        <w:jc w:val="both"/>
        <w:rPr>
          <w:rFonts w:ascii="Calibri" w:eastAsia="Calibri" w:hAnsi="Calibri" w:cs="Calibri"/>
          <w:b/>
          <w:bCs/>
          <w:u w:val="single"/>
          <w:lang w:val="en-US"/>
        </w:rPr>
      </w:pPr>
      <w:r w:rsidRPr="00EF46F6">
        <w:rPr>
          <w:rFonts w:ascii="Calibri" w:eastAsia="Calibri" w:hAnsi="Calibri" w:cs="Calibri"/>
          <w:b/>
          <w:bCs/>
          <w:u w:val="single"/>
          <w:lang w:val="en-US"/>
        </w:rPr>
        <w:t>Division of Medical Oncology</w:t>
      </w:r>
    </w:p>
    <w:p w14:paraId="08C202F1" w14:textId="5168948A"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LU 5 Case</w:t>
      </w:r>
    </w:p>
    <w:p w14:paraId="5295149F"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3C450229"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General Data:</w:t>
      </w:r>
    </w:p>
    <w:p w14:paraId="3E70B609"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33/M</w:t>
      </w:r>
    </w:p>
    <w:p w14:paraId="05045AA1"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Married, with 2 children</w:t>
      </w:r>
    </w:p>
    <w:p w14:paraId="1315806C"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Automobile Mechanic, from Dasmarinas, Cavite</w:t>
      </w:r>
    </w:p>
    <w:p w14:paraId="3AEC6FF9"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1B907AE7"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Chief Complaint</w:t>
      </w:r>
      <w:r w:rsidRPr="00EF46F6">
        <w:rPr>
          <w:rFonts w:ascii="Calibri" w:eastAsia="Calibri" w:hAnsi="Calibri" w:cs="Calibri"/>
          <w:lang w:val="en-US"/>
        </w:rPr>
        <w:t>: Bilateral neck masses</w:t>
      </w:r>
    </w:p>
    <w:p w14:paraId="10C7A26C"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55AECD0B"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History of Present Illness</w:t>
      </w:r>
      <w:r w:rsidRPr="00EF46F6">
        <w:rPr>
          <w:rFonts w:ascii="Calibri" w:eastAsia="Calibri" w:hAnsi="Calibri" w:cs="Calibri"/>
          <w:lang w:val="en-US"/>
        </w:rPr>
        <w:t>:</w:t>
      </w:r>
    </w:p>
    <w:p w14:paraId="2DFD0799"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 xml:space="preserve">3 years prior to consult, the patient noted gradually enlarging bilateral multiple neck masses which initially started on the left lateral neck then eventually involving the right with no associated skin involvement, episodes of dyspnea, dysphagia or compressive symptoms. </w:t>
      </w:r>
    </w:p>
    <w:p w14:paraId="5F1941EF"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6703675B"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No consults done before since patient did not feel any pain nor discomfort from the masses.</w:t>
      </w:r>
    </w:p>
    <w:p w14:paraId="08A0FFBA"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237F4B1A"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1 year PTC, consult was done at DLSUMC where incision biopsy of lateral neck mass showed lymphoproliferative fibrous tissue and was recommended for excision biopsy. The patient was then lost to follow-up due to the pandemic.</w:t>
      </w:r>
    </w:p>
    <w:p w14:paraId="6570F7B0"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39DB1393"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In the interim, patient noted progression of neck masses with skin discoloration and changes, also now noting presence of left axillary nodes thus prompting consult.</w:t>
      </w:r>
    </w:p>
    <w:p w14:paraId="248AB2D0"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77FAA92E" w14:textId="77777777" w:rsidR="00EF46F6" w:rsidRPr="00EF46F6" w:rsidRDefault="00EF46F6" w:rsidP="00EF46F6">
      <w:pPr>
        <w:autoSpaceDE w:val="0"/>
        <w:autoSpaceDN w:val="0"/>
        <w:adjustRightInd w:val="0"/>
        <w:spacing w:after="0" w:line="240" w:lineRule="auto"/>
        <w:jc w:val="both"/>
        <w:rPr>
          <w:rFonts w:ascii="Calibri" w:eastAsia="Calibri" w:hAnsi="Calibri" w:cs="Calibri"/>
          <w:b/>
          <w:bCs/>
          <w:u w:val="single"/>
          <w:lang w:val="en-US"/>
        </w:rPr>
      </w:pPr>
      <w:r w:rsidRPr="00EF46F6">
        <w:rPr>
          <w:rFonts w:ascii="Calibri" w:eastAsia="Calibri" w:hAnsi="Calibri" w:cs="Calibri"/>
          <w:b/>
          <w:bCs/>
          <w:u w:val="single"/>
          <w:lang w:val="en-US"/>
        </w:rPr>
        <w:t>Review of systems:</w:t>
      </w:r>
    </w:p>
    <w:p w14:paraId="66393ED2"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 Undocumented febrile episodes</w:t>
      </w:r>
    </w:p>
    <w:p w14:paraId="3D2BFAE5"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 xml:space="preserve">No dyspnea, chest pain, dysphagia, colds, abdominal pain, </w:t>
      </w:r>
    </w:p>
    <w:p w14:paraId="5B44FFA7" w14:textId="77777777" w:rsidR="00EF46F6" w:rsidRPr="00EF46F6" w:rsidRDefault="00EF46F6" w:rsidP="00EF46F6">
      <w:pPr>
        <w:autoSpaceDE w:val="0"/>
        <w:autoSpaceDN w:val="0"/>
        <w:adjustRightInd w:val="0"/>
        <w:spacing w:after="0" w:line="240" w:lineRule="auto"/>
        <w:jc w:val="both"/>
        <w:rPr>
          <w:rFonts w:ascii="Calibri" w:eastAsia="Calibri" w:hAnsi="Calibri" w:cs="Calibri"/>
          <w:i/>
          <w:iCs/>
          <w:lang w:val="en-US"/>
        </w:rPr>
      </w:pPr>
      <w:r w:rsidRPr="00EF46F6">
        <w:rPr>
          <w:rFonts w:ascii="Calibri" w:eastAsia="Calibri" w:hAnsi="Calibri" w:cs="Calibri"/>
          <w:i/>
          <w:iCs/>
          <w:lang w:val="en-US"/>
        </w:rPr>
        <w:t>no weight loss, night sweats</w:t>
      </w:r>
    </w:p>
    <w:p w14:paraId="0110890E"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72669A53"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 xml:space="preserve">Past Medical History: </w:t>
      </w:r>
    </w:p>
    <w:p w14:paraId="653B63DA"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s/p PTB Category 1 treatment 6 months (2016)</w:t>
      </w:r>
    </w:p>
    <w:p w14:paraId="327297C2"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Cutaneous viral infection (2020)</w:t>
      </w:r>
    </w:p>
    <w:p w14:paraId="7134C717"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10C6A07D"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Family Medical History</w:t>
      </w:r>
      <w:r w:rsidRPr="00EF46F6">
        <w:rPr>
          <w:rFonts w:ascii="Calibri" w:eastAsia="Calibri" w:hAnsi="Calibri" w:cs="Calibri"/>
          <w:lang w:val="en-US"/>
        </w:rPr>
        <w:t xml:space="preserve">: </w:t>
      </w:r>
    </w:p>
    <w:p w14:paraId="2F079AE0"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 unrecalled malignancy, paternal uncle</w:t>
      </w:r>
    </w:p>
    <w:p w14:paraId="51CD5772"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4DA0829C"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Personal and Social History</w:t>
      </w:r>
      <w:r w:rsidRPr="00EF46F6">
        <w:rPr>
          <w:rFonts w:ascii="Calibri" w:eastAsia="Calibri" w:hAnsi="Calibri" w:cs="Calibri"/>
          <w:lang w:val="en-US"/>
        </w:rPr>
        <w:t>:</w:t>
      </w:r>
    </w:p>
    <w:p w14:paraId="21BF7E7B"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 xml:space="preserve">Previous casual smoker stopped 5 years </w:t>
      </w:r>
      <w:proofErr w:type="gramStart"/>
      <w:r w:rsidRPr="00EF46F6">
        <w:rPr>
          <w:rFonts w:ascii="Calibri" w:eastAsia="Calibri" w:hAnsi="Calibri" w:cs="Calibri"/>
          <w:lang w:val="en-US"/>
        </w:rPr>
        <w:t>ago,  ~</w:t>
      </w:r>
      <w:proofErr w:type="gramEnd"/>
      <w:r w:rsidRPr="00EF46F6">
        <w:rPr>
          <w:rFonts w:ascii="Calibri" w:eastAsia="Calibri" w:hAnsi="Calibri" w:cs="Calibri"/>
          <w:lang w:val="en-US"/>
        </w:rPr>
        <w:t>3pack-years</w:t>
      </w:r>
    </w:p>
    <w:p w14:paraId="4A63E610"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Occasional alcoholic beverage drinker last intake was Sept 2020</w:t>
      </w:r>
    </w:p>
    <w:p w14:paraId="757DC22F"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Denies illicit drug use</w:t>
      </w:r>
    </w:p>
    <w:p w14:paraId="748F8520"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Denies occupational exposure to chemicals and radiation</w:t>
      </w:r>
    </w:p>
    <w:p w14:paraId="40F306CC"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4658A8C9"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t>Physical Examination</w:t>
      </w:r>
    </w:p>
    <w:p w14:paraId="524FF758"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General survey: Awake, alert, comfortable at room air</w:t>
      </w:r>
    </w:p>
    <w:p w14:paraId="60D0BA04"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Head and Neck: Anicteric sclerae, pink palpebral conjunctivae, (+) conglomerated, hard fixed lateral neck masses on the left and right sides, largest in dimensions at 9x7x4 cm on the right; (+) 3x3 cm left axillary lymph node</w:t>
      </w:r>
    </w:p>
    <w:p w14:paraId="54E15625"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Chest: Equal chest expansion, Clear breath sounds</w:t>
      </w:r>
    </w:p>
    <w:p w14:paraId="63B2AE71"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Cardiac: Adynamic precordium, Distinct S1 and S2, no S3, regular rhythm, no murmur</w:t>
      </w:r>
    </w:p>
    <w:p w14:paraId="58DB1F8F"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roofErr w:type="spellStart"/>
      <w:r w:rsidRPr="00EF46F6">
        <w:rPr>
          <w:rFonts w:ascii="Calibri" w:eastAsia="Calibri" w:hAnsi="Calibri" w:cs="Calibri"/>
          <w:lang w:val="en-US"/>
        </w:rPr>
        <w:t>Abomen</w:t>
      </w:r>
      <w:proofErr w:type="spellEnd"/>
      <w:r w:rsidRPr="00EF46F6">
        <w:rPr>
          <w:rFonts w:ascii="Calibri" w:eastAsia="Calibri" w:hAnsi="Calibri" w:cs="Calibri"/>
          <w:lang w:val="en-US"/>
        </w:rPr>
        <w:t>: Flabby abdomen, normoactive bowel sounds, soft, nontender no guarding</w:t>
      </w:r>
    </w:p>
    <w:p w14:paraId="0D7AEE76" w14:textId="7FF595B1"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Extremities: Full and equal pulses, CRT&lt;2s, no bipedal edema</w:t>
      </w:r>
    </w:p>
    <w:p w14:paraId="49DC3E78" w14:textId="77777777" w:rsidR="002F5044" w:rsidRDefault="002F5044" w:rsidP="00EF46F6">
      <w:pPr>
        <w:autoSpaceDE w:val="0"/>
        <w:autoSpaceDN w:val="0"/>
        <w:adjustRightInd w:val="0"/>
        <w:spacing w:after="0" w:line="240" w:lineRule="auto"/>
        <w:jc w:val="both"/>
        <w:rPr>
          <w:rFonts w:ascii="Calibri" w:eastAsia="Calibri" w:hAnsi="Calibri" w:cs="Calibri"/>
          <w:b/>
          <w:bCs/>
          <w:u w:val="single"/>
          <w:lang w:val="en-US"/>
        </w:rPr>
      </w:pPr>
    </w:p>
    <w:p w14:paraId="401AEFB9" w14:textId="0B7CB299"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b/>
          <w:bCs/>
          <w:u w:val="single"/>
          <w:lang w:val="en-US"/>
        </w:rPr>
        <w:lastRenderedPageBreak/>
        <w:t>Review of Diagnostics</w:t>
      </w:r>
    </w:p>
    <w:p w14:paraId="646B514A"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6/25/2021 ATYPICAL ROUND CELL PROLIFERATION</w:t>
      </w:r>
    </w:p>
    <w:p w14:paraId="041A6FDC"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7/5/21 IMMUNOHISTOCHEMISTRY RESULTS:</w:t>
      </w:r>
    </w:p>
    <w:p w14:paraId="0541F496"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Positive: CD15, CD30, PAX5</w:t>
      </w:r>
    </w:p>
    <w:p w14:paraId="4E50D1AB"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NEGATIVE: LCA, CD3, CD20, ALK, PANCYTOKERATIN</w:t>
      </w:r>
    </w:p>
    <w:p w14:paraId="453BD908" w14:textId="77777777" w:rsidR="00EF46F6" w:rsidRPr="00EF46F6" w:rsidRDefault="00EF46F6" w:rsidP="00EF46F6">
      <w:pPr>
        <w:autoSpaceDE w:val="0"/>
        <w:autoSpaceDN w:val="0"/>
        <w:adjustRightInd w:val="0"/>
        <w:spacing w:after="0" w:line="240" w:lineRule="auto"/>
        <w:jc w:val="both"/>
        <w:rPr>
          <w:rFonts w:ascii="Calibri" w:eastAsia="Calibri" w:hAnsi="Calibri" w:cs="Calibri"/>
          <w:b/>
          <w:bCs/>
          <w:lang w:val="en-US"/>
        </w:rPr>
      </w:pPr>
    </w:p>
    <w:p w14:paraId="2401D4A3" w14:textId="77777777" w:rsidR="00EF46F6" w:rsidRPr="00EF46F6" w:rsidRDefault="00EF46F6" w:rsidP="00EF46F6">
      <w:pPr>
        <w:autoSpaceDE w:val="0"/>
        <w:autoSpaceDN w:val="0"/>
        <w:adjustRightInd w:val="0"/>
        <w:spacing w:after="0" w:line="240" w:lineRule="auto"/>
        <w:jc w:val="both"/>
        <w:rPr>
          <w:rFonts w:ascii="Calibri" w:eastAsia="Calibri" w:hAnsi="Calibri" w:cs="Calibri"/>
          <w:b/>
          <w:bCs/>
          <w:lang w:val="en-US"/>
        </w:rPr>
      </w:pPr>
      <w:r w:rsidRPr="00EF46F6">
        <w:rPr>
          <w:rFonts w:ascii="Calibri" w:eastAsia="Calibri" w:hAnsi="Calibri" w:cs="Calibri"/>
          <w:b/>
          <w:bCs/>
          <w:lang w:val="en-US"/>
        </w:rPr>
        <w:t>PET-CT SCAN 6/15/21</w:t>
      </w:r>
    </w:p>
    <w:p w14:paraId="754724B0"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Hypermetabolic confluent lymphadenopathy in the mediastinum, left axillary, and bilateral cervical areas, consistent with lymphoma.</w:t>
      </w:r>
    </w:p>
    <w:p w14:paraId="45576BF9"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Hypermetabolic foci in the spleen are also most likely lymphoma</w:t>
      </w:r>
    </w:p>
    <w:p w14:paraId="45D608FF"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Diffuse marrow activity is still most likely reactive than lymphomatous involvement</w:t>
      </w:r>
    </w:p>
    <w:p w14:paraId="3F23FACD"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p>
    <w:p w14:paraId="62594DFB"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WBC 20.6, N 80, L 10, M 0.06, E 0.03, B 0.01</w:t>
      </w:r>
    </w:p>
    <w:p w14:paraId="17118947"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Hgb 117, normocytic, normochromic, PC 472</w:t>
      </w:r>
    </w:p>
    <w:p w14:paraId="16CC1C46" w14:textId="77777777" w:rsidR="00EF46F6" w:rsidRPr="00EF46F6" w:rsidRDefault="00EF46F6" w:rsidP="00EF46F6">
      <w:pPr>
        <w:autoSpaceDE w:val="0"/>
        <w:autoSpaceDN w:val="0"/>
        <w:adjustRightInd w:val="0"/>
        <w:spacing w:after="0" w:line="240" w:lineRule="auto"/>
        <w:jc w:val="both"/>
        <w:rPr>
          <w:rFonts w:ascii="Calibri" w:eastAsia="Calibri" w:hAnsi="Calibri" w:cs="Calibri"/>
          <w:lang w:val="en-US"/>
        </w:rPr>
      </w:pPr>
      <w:r w:rsidRPr="00EF46F6">
        <w:rPr>
          <w:rFonts w:ascii="Calibri" w:eastAsia="Calibri" w:hAnsi="Calibri" w:cs="Calibri"/>
          <w:lang w:val="en-US"/>
        </w:rPr>
        <w:t xml:space="preserve">Uric acid 4.67 mg/dL N, </w:t>
      </w:r>
      <w:proofErr w:type="spellStart"/>
      <w:r w:rsidRPr="00EF46F6">
        <w:rPr>
          <w:rFonts w:ascii="Calibri" w:eastAsia="Calibri" w:hAnsi="Calibri" w:cs="Calibri"/>
          <w:lang w:val="en-US"/>
        </w:rPr>
        <w:t>alb</w:t>
      </w:r>
      <w:proofErr w:type="spellEnd"/>
      <w:r w:rsidRPr="00EF46F6">
        <w:rPr>
          <w:rFonts w:ascii="Calibri" w:eastAsia="Calibri" w:hAnsi="Calibri" w:cs="Calibri"/>
          <w:lang w:val="en-US"/>
        </w:rPr>
        <w:t xml:space="preserve"> 3.8</w:t>
      </w:r>
    </w:p>
    <w:p w14:paraId="18FACCE3" w14:textId="77777777" w:rsidR="00EF46F6" w:rsidRPr="00EF46F6" w:rsidRDefault="00EF46F6" w:rsidP="00EF46F6">
      <w:pPr>
        <w:spacing w:after="0" w:line="240" w:lineRule="auto"/>
        <w:jc w:val="both"/>
        <w:rPr>
          <w:rFonts w:ascii="Calibri" w:eastAsia="Calibri" w:hAnsi="Calibri" w:cs="Calibri"/>
        </w:rPr>
      </w:pPr>
    </w:p>
    <w:p w14:paraId="281EDF8E" w14:textId="77777777" w:rsidR="00104A0E" w:rsidRPr="003E5192" w:rsidRDefault="00104A0E" w:rsidP="00EF46F6">
      <w:pPr>
        <w:spacing w:after="0" w:line="240" w:lineRule="auto"/>
        <w:jc w:val="center"/>
        <w:rPr>
          <w:rFonts w:ascii="Arial" w:hAnsi="Arial" w:cs="Arial"/>
          <w:sz w:val="20"/>
          <w:szCs w:val="20"/>
        </w:rPr>
      </w:pPr>
    </w:p>
    <w:sectPr w:rsidR="00104A0E" w:rsidRPr="003E5192" w:rsidSect="00736E35">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C747" w14:textId="77777777" w:rsidR="0084129A" w:rsidRDefault="0084129A" w:rsidP="00BD09DC">
      <w:pPr>
        <w:spacing w:after="0" w:line="240" w:lineRule="auto"/>
      </w:pPr>
      <w:r>
        <w:separator/>
      </w:r>
    </w:p>
  </w:endnote>
  <w:endnote w:type="continuationSeparator" w:id="0">
    <w:p w14:paraId="2B156964" w14:textId="77777777" w:rsidR="0084129A" w:rsidRDefault="0084129A"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0197" w14:textId="77777777" w:rsidR="0084129A" w:rsidRDefault="0084129A" w:rsidP="00BD09DC">
      <w:pPr>
        <w:spacing w:after="0" w:line="240" w:lineRule="auto"/>
      </w:pPr>
      <w:r>
        <w:separator/>
      </w:r>
    </w:p>
  </w:footnote>
  <w:footnote w:type="continuationSeparator" w:id="0">
    <w:p w14:paraId="29479753" w14:textId="77777777" w:rsidR="0084129A" w:rsidRDefault="0084129A" w:rsidP="00BD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181"/>
    <w:multiLevelType w:val="hybridMultilevel"/>
    <w:tmpl w:val="D69A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4A16"/>
    <w:multiLevelType w:val="hybridMultilevel"/>
    <w:tmpl w:val="A2EC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4B69"/>
    <w:multiLevelType w:val="hybridMultilevel"/>
    <w:tmpl w:val="91F0185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0E7786"/>
    <w:multiLevelType w:val="hybridMultilevel"/>
    <w:tmpl w:val="C5E4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A5F85"/>
    <w:multiLevelType w:val="hybridMultilevel"/>
    <w:tmpl w:val="1930B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945BB"/>
    <w:multiLevelType w:val="hybridMultilevel"/>
    <w:tmpl w:val="D060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A5D0C"/>
    <w:multiLevelType w:val="hybridMultilevel"/>
    <w:tmpl w:val="2D82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65A0D"/>
    <w:multiLevelType w:val="hybridMultilevel"/>
    <w:tmpl w:val="CBBC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C00A4"/>
    <w:multiLevelType w:val="hybridMultilevel"/>
    <w:tmpl w:val="9C50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B35D7"/>
    <w:multiLevelType w:val="hybridMultilevel"/>
    <w:tmpl w:val="601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356F6"/>
    <w:multiLevelType w:val="hybridMultilevel"/>
    <w:tmpl w:val="B71A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427E2"/>
    <w:multiLevelType w:val="hybridMultilevel"/>
    <w:tmpl w:val="A6C0BAC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033EB9"/>
    <w:multiLevelType w:val="hybridMultilevel"/>
    <w:tmpl w:val="F574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4"/>
  </w:num>
  <w:num w:numId="5">
    <w:abstractNumId w:val="11"/>
  </w:num>
  <w:num w:numId="6">
    <w:abstractNumId w:val="2"/>
  </w:num>
  <w:num w:numId="7">
    <w:abstractNumId w:val="6"/>
  </w:num>
  <w:num w:numId="8">
    <w:abstractNumId w:val="3"/>
  </w:num>
  <w:num w:numId="9">
    <w:abstractNumId w:val="1"/>
  </w:num>
  <w:num w:numId="10">
    <w:abstractNumId w:val="7"/>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DD"/>
    <w:rsid w:val="000D441D"/>
    <w:rsid w:val="000E5009"/>
    <w:rsid w:val="00104A0E"/>
    <w:rsid w:val="001174DC"/>
    <w:rsid w:val="0013558B"/>
    <w:rsid w:val="00185D4E"/>
    <w:rsid w:val="001B0C60"/>
    <w:rsid w:val="001C3269"/>
    <w:rsid w:val="001C6581"/>
    <w:rsid w:val="001E54E0"/>
    <w:rsid w:val="001E67B7"/>
    <w:rsid w:val="001F77ED"/>
    <w:rsid w:val="00230A0F"/>
    <w:rsid w:val="00255ECC"/>
    <w:rsid w:val="00281702"/>
    <w:rsid w:val="002E1D48"/>
    <w:rsid w:val="002F5044"/>
    <w:rsid w:val="00323FF9"/>
    <w:rsid w:val="00377593"/>
    <w:rsid w:val="003870A0"/>
    <w:rsid w:val="003B31BA"/>
    <w:rsid w:val="003E5192"/>
    <w:rsid w:val="003F6A09"/>
    <w:rsid w:val="004057B5"/>
    <w:rsid w:val="00420A12"/>
    <w:rsid w:val="00432F93"/>
    <w:rsid w:val="00443D7A"/>
    <w:rsid w:val="0046107D"/>
    <w:rsid w:val="004647CA"/>
    <w:rsid w:val="00466082"/>
    <w:rsid w:val="004F27A8"/>
    <w:rsid w:val="00512746"/>
    <w:rsid w:val="00555F25"/>
    <w:rsid w:val="00584CB8"/>
    <w:rsid w:val="005C064F"/>
    <w:rsid w:val="005C28A5"/>
    <w:rsid w:val="006D5EDD"/>
    <w:rsid w:val="0072295F"/>
    <w:rsid w:val="00736E35"/>
    <w:rsid w:val="00744420"/>
    <w:rsid w:val="00745CC4"/>
    <w:rsid w:val="007506A4"/>
    <w:rsid w:val="00755D16"/>
    <w:rsid w:val="007B7C6E"/>
    <w:rsid w:val="007C1484"/>
    <w:rsid w:val="007D7691"/>
    <w:rsid w:val="007E08AB"/>
    <w:rsid w:val="00810C7F"/>
    <w:rsid w:val="0084129A"/>
    <w:rsid w:val="008669C7"/>
    <w:rsid w:val="008C2ABB"/>
    <w:rsid w:val="008C644D"/>
    <w:rsid w:val="008E4535"/>
    <w:rsid w:val="00916D64"/>
    <w:rsid w:val="00982B0F"/>
    <w:rsid w:val="00996C75"/>
    <w:rsid w:val="009B6385"/>
    <w:rsid w:val="009D3645"/>
    <w:rsid w:val="00A63FA5"/>
    <w:rsid w:val="00A84354"/>
    <w:rsid w:val="00A86A89"/>
    <w:rsid w:val="00B0175C"/>
    <w:rsid w:val="00B330CB"/>
    <w:rsid w:val="00B77934"/>
    <w:rsid w:val="00B80517"/>
    <w:rsid w:val="00B85708"/>
    <w:rsid w:val="00B977B9"/>
    <w:rsid w:val="00BB487C"/>
    <w:rsid w:val="00BC7651"/>
    <w:rsid w:val="00BD060B"/>
    <w:rsid w:val="00BD09DC"/>
    <w:rsid w:val="00BE7C55"/>
    <w:rsid w:val="00C12DFF"/>
    <w:rsid w:val="00C82F01"/>
    <w:rsid w:val="00C84F81"/>
    <w:rsid w:val="00C959E4"/>
    <w:rsid w:val="00CD02F6"/>
    <w:rsid w:val="00CD6BEF"/>
    <w:rsid w:val="00D305A6"/>
    <w:rsid w:val="00DB33CC"/>
    <w:rsid w:val="00DF5225"/>
    <w:rsid w:val="00E15CC1"/>
    <w:rsid w:val="00E22DE2"/>
    <w:rsid w:val="00E35A42"/>
    <w:rsid w:val="00E83D91"/>
    <w:rsid w:val="00E90A3D"/>
    <w:rsid w:val="00EC582B"/>
    <w:rsid w:val="00EC71CD"/>
    <w:rsid w:val="00EF46F6"/>
    <w:rsid w:val="00F1562F"/>
    <w:rsid w:val="00F274F4"/>
    <w:rsid w:val="00F30919"/>
    <w:rsid w:val="00F7044A"/>
    <w:rsid w:val="00F766D7"/>
    <w:rsid w:val="00FE747C"/>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F29E1"/>
  <w15:docId w15:val="{E7D68D54-5761-4648-B57F-5768CA24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DD"/>
    <w:rPr>
      <w:rFonts w:ascii="Tahoma" w:hAnsi="Tahoma" w:cs="Tahoma"/>
      <w:sz w:val="16"/>
      <w:szCs w:val="16"/>
    </w:rPr>
  </w:style>
  <w:style w:type="paragraph" w:styleId="FootnoteText">
    <w:name w:val="footnote text"/>
    <w:basedOn w:val="Normal"/>
    <w:link w:val="FootnoteTextChar"/>
    <w:uiPriority w:val="99"/>
    <w:semiHidden/>
    <w:unhideWhenUsed/>
    <w:rsid w:val="00BD0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9DC"/>
    <w:rPr>
      <w:sz w:val="20"/>
      <w:szCs w:val="20"/>
    </w:rPr>
  </w:style>
  <w:style w:type="character" w:styleId="FootnoteReference">
    <w:name w:val="footnote reference"/>
    <w:basedOn w:val="DefaultParagraphFont"/>
    <w:uiPriority w:val="99"/>
    <w:semiHidden/>
    <w:unhideWhenUsed/>
    <w:rsid w:val="00BD09DC"/>
    <w:rPr>
      <w:vertAlign w:val="superscript"/>
    </w:rPr>
  </w:style>
  <w:style w:type="table" w:customStyle="1" w:styleId="TableGrid1">
    <w:name w:val="Table Grid1"/>
    <w:basedOn w:val="TableNormal"/>
    <w:next w:val="TableGrid"/>
    <w:uiPriority w:val="39"/>
    <w:rsid w:val="00EF46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90245">
      <w:bodyDiv w:val="1"/>
      <w:marLeft w:val="0"/>
      <w:marRight w:val="0"/>
      <w:marTop w:val="0"/>
      <w:marBottom w:val="0"/>
      <w:divBdr>
        <w:top w:val="none" w:sz="0" w:space="0" w:color="auto"/>
        <w:left w:val="none" w:sz="0" w:space="0" w:color="auto"/>
        <w:bottom w:val="none" w:sz="0" w:space="0" w:color="auto"/>
        <w:right w:val="none" w:sz="0" w:space="0" w:color="auto"/>
      </w:divBdr>
    </w:div>
    <w:div w:id="10544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54C2-43D4-48A7-BE65-051F4C0B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Johanna Canal</cp:lastModifiedBy>
  <cp:revision>2</cp:revision>
  <cp:lastPrinted>2020-03-19T23:13:00Z</cp:lastPrinted>
  <dcterms:created xsi:type="dcterms:W3CDTF">2021-09-02T10:30:00Z</dcterms:created>
  <dcterms:modified xsi:type="dcterms:W3CDTF">2021-09-02T10:30:00Z</dcterms:modified>
</cp:coreProperties>
</file>